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0D" w:rsidRDefault="001D710D" w:rsidP="001D710D">
      <w:pPr>
        <w:spacing w:after="20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NTA</w:t>
      </w:r>
    </w:p>
    <w:p w:rsidR="001D710D" w:rsidRPr="00EC5FF7" w:rsidRDefault="001D710D" w:rsidP="001D710D">
      <w:pPr>
        <w:spacing w:after="20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>
        <w:rPr>
          <w:rFonts w:asciiTheme="majorHAnsi" w:eastAsia="SimSun-ExtB" w:hAnsiTheme="majorHAnsi" w:cstheme="majorHAnsi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3F56F" wp14:editId="7A5B5D77">
                <wp:simplePos x="0" y="0"/>
                <wp:positionH relativeFrom="column">
                  <wp:posOffset>-2440305</wp:posOffset>
                </wp:positionH>
                <wp:positionV relativeFrom="paragraph">
                  <wp:posOffset>409575</wp:posOffset>
                </wp:positionV>
                <wp:extent cx="763270" cy="788670"/>
                <wp:effectExtent l="57150" t="19050" r="74930" b="8763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675" cy="78879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58750F" id="Ovale 5" o:spid="_x0000_s1026" style="position:absolute;margin-left:-192.15pt;margin-top:32.25pt;width:60.1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" fillcolor="#65a0d7 [3028]" strokecolor="red" strokeweight=".5pt">
                <v:fill color2="#5898d4 [3172]" rotate="t" colors="0 #71a6db;.5 #559bdb;1 #438ac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Gli interventi sono disciplinati dalle specifiche norme della sotto zona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A0 di cui all'art. 14 delle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Norme Tecniche di Attuazione. </w:t>
      </w: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Destinazioni d’uso</w:t>
      </w:r>
    </w:p>
    <w:p w:rsidR="001D710D" w:rsidRPr="00EC5FF7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residenzia</w:t>
      </w:r>
      <w:bookmarkStart w:id="0" w:name="_GoBack"/>
      <w:bookmarkEnd w:id="0"/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le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;</w:t>
      </w:r>
    </w:p>
    <w:p w:rsidR="001D710D" w:rsidRPr="00EC5FF7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servizi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;</w:t>
      </w:r>
    </w:p>
    <w:p w:rsidR="001D710D" w:rsidRPr="00EC5FF7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alberghiera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;</w:t>
      </w:r>
    </w:p>
    <w:p w:rsidR="001D710D" w:rsidRPr="00EC5FF7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direzionale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;</w:t>
      </w:r>
    </w:p>
    <w:p w:rsidR="001D710D" w:rsidRPr="00EC5FF7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commerciale al dettaglio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;</w:t>
      </w:r>
    </w:p>
    <w:p w:rsidR="001D710D" w:rsidRPr="00EC5FF7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servizi e attrezzature collettive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;</w:t>
      </w:r>
    </w:p>
    <w:p w:rsidR="001D710D" w:rsidRPr="004524B2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ind w:left="777" w:hanging="417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EC5FF7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parcheggi e autorimesse, pertinenziali e di relazione, funzionali alle destinazioni d’uso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a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mmesse, fatte salve eventuali prescrizioni di dettaglio contenute nei piani attuativi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;</w:t>
      </w:r>
    </w:p>
    <w:p w:rsidR="001D710D" w:rsidRDefault="001D710D" w:rsidP="001D710D">
      <w:pPr>
        <w:pStyle w:val="Paragrafoelenco"/>
        <w:numPr>
          <w:ilvl w:val="0"/>
          <w:numId w:val="1"/>
        </w:numPr>
        <w:tabs>
          <w:tab w:val="left" w:pos="5589"/>
          <w:tab w:val="left" w:pos="6014"/>
          <w:tab w:val="left" w:pos="6156"/>
        </w:tabs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attività connesse all’agricoltura, esercitate dall’imprenditore agricolo, limitatamente a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quelle contenute nel terzo comma dell’articolo 2135 del codice civile, come modificato dal </w:t>
      </w:r>
      <w:proofErr w:type="spellStart"/>
      <w:proofErr w:type="gramStart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D.Lgs</w:t>
      </w:r>
      <w:proofErr w:type="gramEnd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.</w:t>
      </w:r>
      <w:proofErr w:type="spellEnd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228/2001.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Gli interventi previsti non devono alterare i limiti esterni della sagoma planivolumetrica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dell’edificio, della superficie coperta e delle altezze esistenti.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Devono essere mantenute e recuperate, se necessario, le caratteristiche, le finiture e i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materiali dell’edificio.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Per gli interventi che prevedono la modifica di parti della facciata deve essere presentato un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progetto unitario, esteso all’intera facciata, per garantire l’uniformità architettonica, tipologica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e dei materiali.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I successivi interventi edilizi dovranno uniformarsi alle prescrizioni del progetto unitario.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Il progetto unitario deve essere approvato dall’assemblea condominiale.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Gli interventi, ad eccezione di quelli interessanti gli edifici della Classe D, devono rispettare le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originali caratteristiche formali ed architettoniche delle facciate principali.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Gli interventi relativi agli immobili di cui al </w:t>
      </w:r>
      <w:proofErr w:type="spellStart"/>
      <w:proofErr w:type="gramStart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D.Lgs</w:t>
      </w:r>
      <w:proofErr w:type="gramEnd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.</w:t>
      </w:r>
      <w:proofErr w:type="spellEnd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42/2004 e </w:t>
      </w:r>
      <w:proofErr w:type="spellStart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s.m.i.</w:t>
      </w:r>
      <w:proofErr w:type="spellEnd"/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, parte seconda, sono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soggetti al parere preventivo della Soprintendenza Belle Arti e Paesaggio del Friuli Venezia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Giulia.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Tutti gli interventi sono sottoposti al parere della Commissione per il Paesaggio e la Qualità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Urbana.</w:t>
      </w:r>
    </w:p>
    <w:p w:rsidR="001D710D" w:rsidRPr="00A00288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La Commissione per il Paesaggio e la Qualità Urbana, in casi particolari motivati dalla qualità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4524B2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della proposta progettuale, o dalla particolare valenza storico-architettonico-ambientale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.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dell’edificio, o dalle considerazioni relative alla percepibilità dell’intervento proposto, può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esprimersi anche in deroga alle Disposizioni particolari del presente articolo.</w:t>
      </w:r>
    </w:p>
    <w:p w:rsidR="001D710D" w:rsidRPr="004524B2" w:rsidRDefault="001D710D" w:rsidP="001D710D">
      <w:pPr>
        <w:pStyle w:val="Paragrafoelenco"/>
        <w:tabs>
          <w:tab w:val="left" w:pos="5589"/>
          <w:tab w:val="left" w:pos="6014"/>
          <w:tab w:val="left" w:pos="6156"/>
        </w:tabs>
        <w:ind w:left="0"/>
        <w:jc w:val="both"/>
        <w:rPr>
          <w:rFonts w:ascii="DecimaWE Rg" w:eastAsia="SimSun-ExtB" w:hAnsi="DecimaWE Rg" w:cstheme="majorHAnsi"/>
          <w:color w:val="44546A" w:themeColor="text2"/>
          <w:sz w:val="22"/>
          <w:szCs w:val="22"/>
        </w:rPr>
      </w:pP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Il provvedimento abilitativo in deroga, rilasciato previo parere della Commissione per il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Paesaggio e la Qualità Urbana, deve essere adeguatamente motivato mediante specifici e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puntuali riferimenti all’ambiente nel quale l’intervento si colloca, individuando precisamente gli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elementi di pregio e le singole componenti edilizie connotative dell’insieme nonché la misura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nella quale (sotto i profili architettonici, volumetrici, dimensionali, ecc.) il progetto presentato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sia compatibile con i valori storico, ambientale, paesistico, propri della zona A0 del P.R.G.C.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 xml:space="preserve"> </w:t>
      </w:r>
      <w:r w:rsidRPr="00A00288">
        <w:rPr>
          <w:rFonts w:ascii="DecimaWE Rg" w:eastAsia="SimSun-ExtB" w:hAnsi="DecimaWE Rg" w:cstheme="majorHAnsi"/>
          <w:color w:val="44546A" w:themeColor="text2"/>
          <w:sz w:val="22"/>
          <w:szCs w:val="22"/>
        </w:rPr>
        <w:t>del Comune di Trieste</w:t>
      </w:r>
      <w:r>
        <w:rPr>
          <w:rFonts w:ascii="DecimaWE Rg" w:eastAsia="SimSun-ExtB" w:hAnsi="DecimaWE Rg" w:cstheme="majorHAnsi"/>
          <w:color w:val="44546A" w:themeColor="text2"/>
          <w:sz w:val="22"/>
          <w:szCs w:val="22"/>
        </w:rPr>
        <w:t>.</w:t>
      </w:r>
    </w:p>
    <w:p w:rsidR="00277A72" w:rsidRDefault="001D710D"/>
    <w:sectPr w:rsidR="00277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0F4B"/>
    <w:multiLevelType w:val="hybridMultilevel"/>
    <w:tmpl w:val="B84852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0D"/>
    <w:rsid w:val="000D1ABE"/>
    <w:rsid w:val="001D710D"/>
    <w:rsid w:val="0046192E"/>
    <w:rsid w:val="00DC1587"/>
    <w:rsid w:val="00E4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D785"/>
  <w15:chartTrackingRefBased/>
  <w15:docId w15:val="{CBC46A4E-1898-4BAE-824D-D6BEB44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7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Zennaro Nicoletta</dc:creator>
  <cp:keywords/>
  <dc:description/>
  <cp:lastModifiedBy>Zennaro Nicoletta</cp:lastModifiedBy>
  <cp:revision>1</cp:revision>
  <dcterms:created xsi:type="dcterms:W3CDTF">2023-10-04T14:23:00Z</dcterms:created>
  <dcterms:modified xsi:type="dcterms:W3CDTF">2023-10-04T14:23:00Z</dcterms:modified>
</cp:coreProperties>
</file>