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3E7F" w14:textId="77777777" w:rsidR="001717F6" w:rsidRDefault="001717F6" w:rsidP="001717F6">
      <w:pPr>
        <w:rPr>
          <w:rFonts w:ascii="Arial Narrow" w:eastAsia="SimSun-ExtB" w:hAnsi="Arial Narrow" w:cs="Open Sans"/>
        </w:rPr>
      </w:pPr>
      <w:r w:rsidRPr="00313F6F">
        <w:rPr>
          <w:rFonts w:ascii="Arial Narrow" w:eastAsia="SimSun-ExtB" w:hAnsi="Arial Narrow" w:cs="Open Sans"/>
        </w:rPr>
        <w:t xml:space="preserve">zona P.R.G.C.: D1a – punti 1, 3, 4 dell’art. 14 lett. b </w:t>
      </w:r>
    </w:p>
    <w:p w14:paraId="1CFF5492" w14:textId="77777777" w:rsidR="001717F6" w:rsidRPr="003909F9" w:rsidRDefault="001717F6" w:rsidP="001717F6">
      <w:pPr>
        <w:spacing w:after="0" w:line="240" w:lineRule="auto"/>
        <w:jc w:val="both"/>
        <w:rPr>
          <w:rFonts w:ascii="Arial Narrow" w:eastAsia="SimSun-ExtB" w:hAnsi="Arial Narrow" w:cs="Open Sans"/>
          <w:b/>
          <w:bCs/>
        </w:rPr>
      </w:pPr>
      <w:r w:rsidRPr="003909F9">
        <w:rPr>
          <w:rFonts w:ascii="Arial Narrow" w:eastAsia="SimSun-ExtB" w:hAnsi="Arial Narrow" w:cs="Open Sans"/>
          <w:b/>
          <w:bCs/>
        </w:rPr>
        <w:t>art. 14 – Zone omogenee D – disposizioni generali</w:t>
      </w:r>
    </w:p>
    <w:p w14:paraId="0A5C34FE" w14:textId="77777777" w:rsidR="001717F6" w:rsidRDefault="001717F6" w:rsidP="001717F6">
      <w:pPr>
        <w:spacing w:after="0" w:line="240" w:lineRule="auto"/>
        <w:jc w:val="both"/>
        <w:rPr>
          <w:rFonts w:ascii="Arial Narrow" w:eastAsia="SimSun-ExtB" w:hAnsi="Arial Narrow" w:cs="Open Sans"/>
        </w:rPr>
      </w:pPr>
    </w:p>
    <w:p w14:paraId="0E69A07C" w14:textId="77777777" w:rsidR="001717F6" w:rsidRPr="00664639" w:rsidRDefault="001717F6" w:rsidP="001717F6">
      <w:pPr>
        <w:pStyle w:val="Nessunaspaziatura"/>
        <w:jc w:val="both"/>
        <w:rPr>
          <w:rFonts w:ascii="Arial Narrow" w:eastAsia="SimSun-ExtB" w:hAnsi="Arial Narrow" w:cs="Open Sans"/>
          <w:sz w:val="22"/>
          <w:szCs w:val="22"/>
        </w:rPr>
      </w:pPr>
      <w:r w:rsidRPr="00C4682D">
        <w:rPr>
          <w:rFonts w:ascii="Arial" w:hAnsi="Arial" w:cs="Arial"/>
          <w:bCs/>
          <w:sz w:val="20"/>
          <w:szCs w:val="20"/>
        </w:rPr>
        <w:t xml:space="preserve">1 </w:t>
      </w:r>
      <w:r w:rsidRPr="00664639">
        <w:rPr>
          <w:rFonts w:ascii="Arial Narrow" w:eastAsia="SimSun-ExtB" w:hAnsi="Arial Narrow" w:cs="Open Sans"/>
          <w:sz w:val="22"/>
          <w:szCs w:val="22"/>
        </w:rPr>
        <w:t>- attività industriali, comprendenti tutti gli edifici ed impianti connessi con la produzione industriale, quali: opifici, magazzini, depositi al coperto e a cielo libero, uffici, eventuale abitazione del custode, nel limite di una abitazione per attività produttiva, con una volumetria massima di mc. 400 da realizzare per le zone D1 entro il fabbricato principale senza soluzione di continuità;</w:t>
      </w:r>
    </w:p>
    <w:p w14:paraId="053E6EF8" w14:textId="77777777" w:rsidR="001717F6" w:rsidRDefault="001717F6" w:rsidP="001717F6">
      <w:pPr>
        <w:autoSpaceDE w:val="0"/>
        <w:autoSpaceDN w:val="0"/>
        <w:adjustRightInd w:val="0"/>
        <w:spacing w:after="0" w:line="240" w:lineRule="auto"/>
        <w:jc w:val="both"/>
        <w:rPr>
          <w:rFonts w:ascii="Arial Narrow" w:eastAsia="SimSun-ExtB" w:hAnsi="Arial Narrow" w:cs="Open Sans"/>
        </w:rPr>
      </w:pPr>
    </w:p>
    <w:p w14:paraId="4733E33B" w14:textId="77777777" w:rsidR="001717F6" w:rsidRDefault="001717F6" w:rsidP="001717F6">
      <w:pPr>
        <w:autoSpaceDE w:val="0"/>
        <w:autoSpaceDN w:val="0"/>
        <w:adjustRightInd w:val="0"/>
        <w:spacing w:after="0" w:line="240" w:lineRule="auto"/>
        <w:jc w:val="both"/>
        <w:rPr>
          <w:rFonts w:ascii="Arial Narrow" w:eastAsia="SimSun-ExtB" w:hAnsi="Arial Narrow" w:cs="Open Sans"/>
        </w:rPr>
      </w:pPr>
      <w:r>
        <w:rPr>
          <w:rFonts w:ascii="Arial Narrow" w:eastAsia="SimSun-ExtB" w:hAnsi="Arial Narrow" w:cs="Open Sans"/>
        </w:rPr>
        <w:t>3 -</w:t>
      </w:r>
      <w:r w:rsidRPr="00030712">
        <w:rPr>
          <w:rFonts w:ascii="Arial Narrow" w:eastAsia="SimSun-ExtB" w:hAnsi="Arial Narrow" w:cs="Open Sans"/>
        </w:rPr>
        <w:t>magazzini, depositi ed impianti tecnologici anche non direttamente connessi con attività</w:t>
      </w:r>
      <w:r>
        <w:rPr>
          <w:rFonts w:ascii="Arial Narrow" w:eastAsia="SimSun-ExtB" w:hAnsi="Arial Narrow" w:cs="Open Sans"/>
        </w:rPr>
        <w:t xml:space="preserve"> </w:t>
      </w:r>
      <w:r w:rsidRPr="00030712">
        <w:rPr>
          <w:rFonts w:ascii="Arial Narrow" w:eastAsia="SimSun-ExtB" w:hAnsi="Arial Narrow" w:cs="Open Sans"/>
        </w:rPr>
        <w:t>industriali od artigianali, sedi di imprese di autotrasporti, vendita di generi connessi con le</w:t>
      </w:r>
      <w:r>
        <w:rPr>
          <w:rFonts w:ascii="Arial Narrow" w:eastAsia="SimSun-ExtB" w:hAnsi="Arial Narrow" w:cs="Open Sans"/>
        </w:rPr>
        <w:t xml:space="preserve"> p</w:t>
      </w:r>
      <w:r w:rsidRPr="00030712">
        <w:rPr>
          <w:rFonts w:ascii="Arial Narrow" w:eastAsia="SimSun-ExtB" w:hAnsi="Arial Narrow" w:cs="Open Sans"/>
        </w:rPr>
        <w:t>roduzioni artigianali, sale di esposizione, mense, spazi di servizio e supporto, spazi</w:t>
      </w:r>
      <w:r>
        <w:rPr>
          <w:rFonts w:ascii="Arial Narrow" w:eastAsia="SimSun-ExtB" w:hAnsi="Arial Narrow" w:cs="Open Sans"/>
        </w:rPr>
        <w:t xml:space="preserve"> t</w:t>
      </w:r>
      <w:r w:rsidRPr="00030712">
        <w:rPr>
          <w:rFonts w:ascii="Arial Narrow" w:eastAsia="SimSun-ExtB" w:hAnsi="Arial Narrow" w:cs="Open Sans"/>
        </w:rPr>
        <w:t>ecnici e spazi per la commercializzazione dei prodotti di tali attività</w:t>
      </w:r>
    </w:p>
    <w:p w14:paraId="2CA11EAF" w14:textId="77777777" w:rsidR="001717F6" w:rsidRDefault="001717F6" w:rsidP="001717F6">
      <w:pPr>
        <w:autoSpaceDE w:val="0"/>
        <w:autoSpaceDN w:val="0"/>
        <w:adjustRightInd w:val="0"/>
        <w:spacing w:after="0" w:line="240" w:lineRule="auto"/>
        <w:jc w:val="both"/>
        <w:rPr>
          <w:rFonts w:ascii="Arial Narrow" w:eastAsia="SimSun-ExtB" w:hAnsi="Arial Narrow" w:cs="Open Sans"/>
        </w:rPr>
      </w:pPr>
    </w:p>
    <w:p w14:paraId="3C22E7A8" w14:textId="77777777" w:rsidR="001717F6" w:rsidRDefault="001717F6" w:rsidP="001717F6">
      <w:pPr>
        <w:autoSpaceDE w:val="0"/>
        <w:autoSpaceDN w:val="0"/>
        <w:adjustRightInd w:val="0"/>
        <w:spacing w:after="0" w:line="240" w:lineRule="auto"/>
        <w:jc w:val="both"/>
        <w:rPr>
          <w:rFonts w:ascii="Arial Narrow" w:eastAsia="SimSun-ExtB" w:hAnsi="Arial Narrow" w:cs="Open Sans"/>
        </w:rPr>
      </w:pPr>
      <w:r>
        <w:rPr>
          <w:rFonts w:ascii="Arial Narrow" w:eastAsia="SimSun-ExtB" w:hAnsi="Arial Narrow" w:cs="Open Sans"/>
        </w:rPr>
        <w:t xml:space="preserve">4 - </w:t>
      </w:r>
      <w:r w:rsidRPr="00030712">
        <w:rPr>
          <w:rFonts w:ascii="Arial Narrow" w:eastAsia="SimSun-ExtB" w:hAnsi="Arial Narrow" w:cs="Open Sans"/>
        </w:rPr>
        <w:t>distributori di carburante ed impianti di servizio alla motorizzazione</w:t>
      </w:r>
    </w:p>
    <w:p w14:paraId="221DE7D5" w14:textId="77777777" w:rsidR="001717F6" w:rsidRDefault="001717F6" w:rsidP="001717F6">
      <w:pPr>
        <w:autoSpaceDE w:val="0"/>
        <w:autoSpaceDN w:val="0"/>
        <w:adjustRightInd w:val="0"/>
        <w:spacing w:after="0" w:line="240" w:lineRule="auto"/>
        <w:jc w:val="both"/>
        <w:rPr>
          <w:rFonts w:ascii="Arial Narrow" w:eastAsia="SimSun-ExtB" w:hAnsi="Arial Narrow" w:cs="Open Sans"/>
        </w:rPr>
      </w:pPr>
    </w:p>
    <w:p w14:paraId="70539B03" w14:textId="77777777" w:rsidR="001717F6" w:rsidRPr="005332C1" w:rsidRDefault="001717F6" w:rsidP="001717F6">
      <w:pPr>
        <w:spacing w:after="0" w:line="240" w:lineRule="auto"/>
        <w:jc w:val="both"/>
        <w:rPr>
          <w:rFonts w:ascii="Arial Narrow" w:eastAsia="SimSun-ExtB" w:hAnsi="Arial Narrow" w:cs="Open Sans"/>
          <w:u w:val="single"/>
        </w:rPr>
      </w:pPr>
      <w:r w:rsidRPr="005332C1">
        <w:rPr>
          <w:rFonts w:ascii="Arial Narrow" w:eastAsia="SimSun-ExtB" w:hAnsi="Arial Narrow" w:cs="Open Sans"/>
          <w:u w:val="single"/>
        </w:rPr>
        <w:t>Indici e parametri</w:t>
      </w:r>
    </w:p>
    <w:p w14:paraId="526EAA9D" w14:textId="77777777" w:rsidR="001717F6" w:rsidRDefault="001717F6" w:rsidP="001717F6">
      <w:pPr>
        <w:pStyle w:val="Nessunaspaziatura"/>
        <w:jc w:val="both"/>
        <w:rPr>
          <w:rFonts w:ascii="Arial Narrow" w:eastAsia="SimSun-ExtB" w:hAnsi="Arial Narrow" w:cs="Open Sans"/>
          <w:sz w:val="22"/>
          <w:szCs w:val="22"/>
        </w:rPr>
      </w:pPr>
    </w:p>
    <w:p w14:paraId="7A9431DB"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xml:space="preserve">Punto 1 e 6 (attività industriali, </w:t>
      </w:r>
      <w:proofErr w:type="gramStart"/>
      <w:r w:rsidRPr="00664639">
        <w:rPr>
          <w:rFonts w:ascii="Arial Narrow" w:eastAsia="SimSun-ExtB" w:hAnsi="Arial Narrow" w:cs="Open Sans"/>
          <w:sz w:val="22"/>
          <w:szCs w:val="22"/>
        </w:rPr>
        <w:t>ecc...</w:t>
      </w:r>
      <w:proofErr w:type="gramEnd"/>
      <w:r w:rsidRPr="00664639">
        <w:rPr>
          <w:rFonts w:ascii="Arial Narrow" w:eastAsia="SimSun-ExtB" w:hAnsi="Arial Narrow" w:cs="Open Sans"/>
          <w:sz w:val="22"/>
          <w:szCs w:val="22"/>
        </w:rPr>
        <w:t>):</w:t>
      </w:r>
    </w:p>
    <w:p w14:paraId="2249A32F"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rapporto di copertura max: 0,50 mq/mq;</w:t>
      </w:r>
    </w:p>
    <w:p w14:paraId="7E060907"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distanza tra pareti finestrate di edifici destinati a residenza permanente e pareti di edifici antistanti: non inferiore a m 10;</w:t>
      </w:r>
    </w:p>
    <w:p w14:paraId="48955245"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parcheggi stanziali all'interno dei lotti: un posto macchina ogni due addetti;</w:t>
      </w:r>
    </w:p>
    <w:p w14:paraId="2381FD4E"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xml:space="preserve">- parcheggi di relazione: superficie non inferiore al 10% della superficie utile degli edifici, previsto dal DPGR 0242/Pres. </w:t>
      </w:r>
      <w:proofErr w:type="spellStart"/>
      <w:r w:rsidRPr="00664639">
        <w:rPr>
          <w:rFonts w:ascii="Arial Narrow" w:eastAsia="SimSun-ExtB" w:hAnsi="Arial Narrow" w:cs="Open Sans"/>
          <w:sz w:val="22"/>
          <w:szCs w:val="22"/>
        </w:rPr>
        <w:t>dd</w:t>
      </w:r>
      <w:proofErr w:type="spellEnd"/>
      <w:r w:rsidRPr="00664639">
        <w:rPr>
          <w:rFonts w:ascii="Arial Narrow" w:eastAsia="SimSun-ExtB" w:hAnsi="Arial Narrow" w:cs="Open Sans"/>
          <w:sz w:val="22"/>
          <w:szCs w:val="22"/>
        </w:rPr>
        <w:t>. 14-07-2000 di revisione degli standard urbanistici;</w:t>
      </w:r>
    </w:p>
    <w:p w14:paraId="4CDF63D0"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distanza degli edifici dalla strada (ad eccezione di quei servizi che necessariamente devono essere ubicati all'ingresso degli stabilimenti): m. 15</w:t>
      </w:r>
    </w:p>
    <w:p w14:paraId="31051188" w14:textId="77777777" w:rsidR="001717F6" w:rsidRPr="00664639" w:rsidRDefault="001717F6" w:rsidP="001717F6">
      <w:pPr>
        <w:pStyle w:val="Nessunaspaziatura"/>
        <w:jc w:val="both"/>
        <w:rPr>
          <w:rFonts w:ascii="Arial Narrow" w:eastAsia="SimSun-ExtB" w:hAnsi="Arial Narrow" w:cs="Open Sans"/>
          <w:sz w:val="22"/>
          <w:szCs w:val="22"/>
        </w:rPr>
      </w:pPr>
    </w:p>
    <w:p w14:paraId="2A7E689F"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xml:space="preserve">Punti 2 e 3 (attività artigianali; magazzini, </w:t>
      </w:r>
      <w:proofErr w:type="gramStart"/>
      <w:r w:rsidRPr="00664639">
        <w:rPr>
          <w:rFonts w:ascii="Arial Narrow" w:eastAsia="SimSun-ExtB" w:hAnsi="Arial Narrow" w:cs="Open Sans"/>
          <w:sz w:val="22"/>
          <w:szCs w:val="22"/>
        </w:rPr>
        <w:t>ecc...</w:t>
      </w:r>
      <w:proofErr w:type="gramEnd"/>
      <w:r w:rsidRPr="00664639">
        <w:rPr>
          <w:rFonts w:ascii="Arial Narrow" w:eastAsia="SimSun-ExtB" w:hAnsi="Arial Narrow" w:cs="Open Sans"/>
          <w:sz w:val="22"/>
          <w:szCs w:val="22"/>
        </w:rPr>
        <w:t>):</w:t>
      </w:r>
    </w:p>
    <w:p w14:paraId="4E8069E9"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rapporto di copertura max: 0,50 mq/mq;</w:t>
      </w:r>
    </w:p>
    <w:p w14:paraId="2F6BFACB"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distanza tra pareti finestrate di edifici destinati a residenza permanente e pareti di edifici antistanti: non inferiore a m 10;</w:t>
      </w:r>
    </w:p>
    <w:p w14:paraId="5C810DD8"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parcheggi stanziali all'interno dei lotti: un posto macchina ogni due addetti;</w:t>
      </w:r>
    </w:p>
    <w:p w14:paraId="5DFCF7FA"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xml:space="preserve">- parcheggi di relazione: superficie non inferiore al 10% della superficie utile degli edifici, previsto dal DPGR 0242/Pres. </w:t>
      </w:r>
      <w:proofErr w:type="spellStart"/>
      <w:r w:rsidRPr="00664639">
        <w:rPr>
          <w:rFonts w:ascii="Arial Narrow" w:eastAsia="SimSun-ExtB" w:hAnsi="Arial Narrow" w:cs="Open Sans"/>
          <w:sz w:val="22"/>
          <w:szCs w:val="22"/>
        </w:rPr>
        <w:t>dd</w:t>
      </w:r>
      <w:proofErr w:type="spellEnd"/>
      <w:r w:rsidRPr="00664639">
        <w:rPr>
          <w:rFonts w:ascii="Arial Narrow" w:eastAsia="SimSun-ExtB" w:hAnsi="Arial Narrow" w:cs="Open Sans"/>
          <w:sz w:val="22"/>
          <w:szCs w:val="22"/>
        </w:rPr>
        <w:t>. 14-07-2000 di revisione degli standard urbanistici.</w:t>
      </w:r>
    </w:p>
    <w:p w14:paraId="4CC209DC"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distanza degli edifici dalla strada (ad eccezione di quei servizi che necessariamente devono essere ubicati all'ingresso degli stabilimenti): m. 6.</w:t>
      </w:r>
    </w:p>
    <w:p w14:paraId="4B01272B" w14:textId="77777777" w:rsidR="001717F6" w:rsidRPr="00664639" w:rsidRDefault="001717F6" w:rsidP="001717F6">
      <w:pPr>
        <w:pStyle w:val="Nessunaspaziatura"/>
        <w:jc w:val="both"/>
        <w:rPr>
          <w:rFonts w:ascii="Arial Narrow" w:eastAsia="SimSun-ExtB" w:hAnsi="Arial Narrow" w:cs="Open Sans"/>
          <w:sz w:val="22"/>
          <w:szCs w:val="22"/>
        </w:rPr>
      </w:pPr>
    </w:p>
    <w:p w14:paraId="06488C31"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Punto 4 (distributori di carburante):</w:t>
      </w:r>
    </w:p>
    <w:p w14:paraId="2836F909" w14:textId="77777777" w:rsidR="001717F6" w:rsidRPr="00664639"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rapporto di copertura max: 0,20 mq/mq;</w:t>
      </w:r>
    </w:p>
    <w:p w14:paraId="5FFCA1D0" w14:textId="77777777" w:rsidR="001717F6" w:rsidRPr="003567B3" w:rsidRDefault="001717F6" w:rsidP="001717F6">
      <w:pPr>
        <w:pStyle w:val="Nessunaspaziatura"/>
        <w:jc w:val="both"/>
        <w:rPr>
          <w:rFonts w:ascii="Arial Narrow" w:eastAsia="SimSun-ExtB" w:hAnsi="Arial Narrow" w:cs="Open Sans"/>
          <w:sz w:val="22"/>
          <w:szCs w:val="22"/>
        </w:rPr>
      </w:pPr>
      <w:r w:rsidRPr="00664639">
        <w:rPr>
          <w:rFonts w:ascii="Arial Narrow" w:eastAsia="SimSun-ExtB" w:hAnsi="Arial Narrow" w:cs="Open Sans"/>
          <w:sz w:val="22"/>
          <w:szCs w:val="22"/>
        </w:rPr>
        <w:t>- distanza degli edifici dalla strada: m. 1</w:t>
      </w:r>
      <w:r>
        <w:rPr>
          <w:rFonts w:ascii="Arial Narrow" w:eastAsia="SimSun-ExtB" w:hAnsi="Arial Narrow" w:cs="Open Sans"/>
          <w:sz w:val="22"/>
          <w:szCs w:val="22"/>
        </w:rPr>
        <w:t>0</w:t>
      </w:r>
    </w:p>
    <w:p w14:paraId="0065C7EB" w14:textId="77777777" w:rsidR="00D97185" w:rsidRDefault="00D97185"/>
    <w:sectPr w:rsidR="00D971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ExtB">
    <w:panose1 w:val="02010609060101010101"/>
    <w:charset w:val="86"/>
    <w:family w:val="modern"/>
    <w:pitch w:val="fixed"/>
    <w:sig w:usb0="00000003" w:usb1="0A0E0000" w:usb2="00000010" w:usb3="00000000" w:csb0="0004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A7"/>
    <w:rsid w:val="001717F6"/>
    <w:rsid w:val="008020EF"/>
    <w:rsid w:val="00B204A7"/>
    <w:rsid w:val="00D97185"/>
    <w:rsid w:val="00EC2B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E37EA-F2FA-41F2-9D04-6B8F4367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7F6"/>
    <w:pPr>
      <w:spacing w:after="200" w:line="276" w:lineRule="auto"/>
    </w:pPr>
    <w:rPr>
      <w:rFonts w:ascii="Calibri" w:eastAsia="Times New Roman" w:hAnsi="Calibri" w:cs="Times New Roman"/>
      <w:kern w:val="0"/>
      <w:lang w:eastAsia="it-IT"/>
      <w14:ligatures w14:val="none"/>
    </w:rPr>
  </w:style>
  <w:style w:type="paragraph" w:styleId="Titolo1">
    <w:name w:val="heading 1"/>
    <w:basedOn w:val="Normale"/>
    <w:next w:val="Normale"/>
    <w:link w:val="Titolo1Carattere"/>
    <w:uiPriority w:val="9"/>
    <w:qFormat/>
    <w:rsid w:val="00B204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B204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B204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B204A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B204A7"/>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B204A7"/>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B204A7"/>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B204A7"/>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B204A7"/>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04A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204A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204A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204A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204A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204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04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04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04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04A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B204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04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B204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04A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B204A7"/>
    <w:rPr>
      <w:i/>
      <w:iCs/>
      <w:color w:val="404040" w:themeColor="text1" w:themeTint="BF"/>
    </w:rPr>
  </w:style>
  <w:style w:type="paragraph" w:styleId="Paragrafoelenco">
    <w:name w:val="List Paragraph"/>
    <w:basedOn w:val="Normale"/>
    <w:uiPriority w:val="34"/>
    <w:qFormat/>
    <w:rsid w:val="00B204A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B204A7"/>
    <w:rPr>
      <w:i/>
      <w:iCs/>
      <w:color w:val="2F5496" w:themeColor="accent1" w:themeShade="BF"/>
    </w:rPr>
  </w:style>
  <w:style w:type="paragraph" w:styleId="Citazioneintensa">
    <w:name w:val="Intense Quote"/>
    <w:basedOn w:val="Normale"/>
    <w:next w:val="Normale"/>
    <w:link w:val="CitazioneintensaCarattere"/>
    <w:uiPriority w:val="30"/>
    <w:qFormat/>
    <w:rsid w:val="00B204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B204A7"/>
    <w:rPr>
      <w:i/>
      <w:iCs/>
      <w:color w:val="2F5496" w:themeColor="accent1" w:themeShade="BF"/>
    </w:rPr>
  </w:style>
  <w:style w:type="character" w:styleId="Riferimentointenso">
    <w:name w:val="Intense Reference"/>
    <w:basedOn w:val="Carpredefinitoparagrafo"/>
    <w:uiPriority w:val="32"/>
    <w:qFormat/>
    <w:rsid w:val="00B204A7"/>
    <w:rPr>
      <w:b/>
      <w:bCs/>
      <w:smallCaps/>
      <w:color w:val="2F5496" w:themeColor="accent1" w:themeShade="BF"/>
      <w:spacing w:val="5"/>
    </w:rPr>
  </w:style>
  <w:style w:type="paragraph" w:styleId="Nessunaspaziatura">
    <w:name w:val="No Spacing"/>
    <w:uiPriority w:val="1"/>
    <w:qFormat/>
    <w:rsid w:val="001717F6"/>
    <w:pPr>
      <w:spacing w:after="0"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patrizia.glessi</dc:creator>
  <cp:keywords/>
  <dc:description/>
  <cp:lastModifiedBy>patrizia.glessi</cp:lastModifiedBy>
  <cp:revision>2</cp:revision>
  <dcterms:created xsi:type="dcterms:W3CDTF">2025-02-04T15:23:00Z</dcterms:created>
  <dcterms:modified xsi:type="dcterms:W3CDTF">2025-02-04T15:23:00Z</dcterms:modified>
</cp:coreProperties>
</file>